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TAS — unit delivery and assessment section</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val="false"/>
          <w:bCs w:val="false"/>
          <w:color w:val="6B6560"/>
          <w:sz w:val="18"/>
          <w:szCs w:val="18"/>
        </w:rPr>
        <w:t xml:space="preserve">Paste this into your Training and Assessment Strategy and complete the blank cells.</w:t>
      </w:r>
    </w:p>
    <w:p>
      <w:pPr>
        <w:pStyle w:val="Heading2"/>
        <w:pBdr>
          <w:bottom w:val="single" w:color="EC3013" w:sz="12" w:space="2"/>
        </w:pBdr>
        <w:spacing w:after="220" w:before="280"/>
      </w:pPr>
      <w:r>
        <w:rPr>
          <w:b/>
          <w:bCs/>
          <w:color w:val="201E1D"/>
          <w:sz w:val="28"/>
          <w:szCs w:val="28"/>
        </w:rPr>
        <w:t xml:space="preserve">Unit details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Unit</w:t>
            </w:r>
          </w:p>
        </w:tc>
        <w:tc>
          <w:tcPr>
            <w:tcMar>
              <w:top w:type="dxa" w:w="72"/>
              <w:left w:type="dxa" w:w="115"/>
              <w:bottom w:type="dxa" w:w="72"/>
              <w:right w:type="dxa" w:w="115"/>
            </w:tcMar>
            <w:vAlign w:val="top"/>
          </w:tcPr>
          <w:p>
            <w:pPr>
              <w:spacing w:after="140"/>
            </w:pPr>
            <w:r>
              <w:rPr>
                <w:b w:val="false"/>
                <w:bCs w:val="false"/>
                <w:color w:val="201E1D"/>
                <w:sz w:val="22"/>
                <w:szCs w:val="22"/>
              </w:rPr>
              <w:t xml:space="preserve">CPCCCM2006 — Apply basic levelling procedures</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Release / training package</w:t>
            </w:r>
          </w:p>
        </w:tc>
        <w:tc>
          <w:tcPr>
            <w:tcMar>
              <w:top w:type="dxa" w:w="72"/>
              <w:left w:type="dxa" w:w="115"/>
              <w:bottom w:type="dxa" w:w="72"/>
              <w:right w:type="dxa" w:w="115"/>
            </w:tcMar>
            <w:vAlign w:val="top"/>
          </w:tcPr>
          <w:p>
            <w:pPr>
              <w:spacing w:after="140"/>
            </w:pPr>
            <w:r>
              <w:rPr>
                <w:b w:val="false"/>
                <w:bCs w:val="false"/>
                <w:color w:val="201E1D"/>
                <w:sz w:val="22"/>
                <w:szCs w:val="22"/>
              </w:rPr>
              <w:t xml:space="preserve">Release 1 — CPC Construction, Plumbing and Services Training Package</w:t>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Delivery mode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Nominal / scheduled hours</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Trainer and assessor</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Target cohort and entry requirements</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shd w:fill="EDE9E5" w:color="auto" w:val="clear"/>
            <w:tcMar>
              <w:top w:type="dxa" w:w="72"/>
              <w:left w:type="dxa" w:w="115"/>
              <w:bottom w:type="dxa" w:w="72"/>
              <w:right w:type="dxa" w:w="115"/>
            </w:tcMar>
            <w:vAlign w:val="top"/>
          </w:tcPr>
          <w:p>
            <w:pPr>
              <w:spacing w:after="140"/>
            </w:pPr>
            <w:r>
              <w:rPr>
                <w:b/>
                <w:bCs/>
                <w:color w:val="201E1D"/>
                <w:sz w:val="22"/>
                <w:szCs w:val="22"/>
              </w:rPr>
              <w:t xml:space="preserve">Pre-requisite units</w:t>
            </w:r>
          </w:p>
        </w:tc>
        <w:tc>
          <w:tcPr>
            <w:tcMar>
              <w:top w:type="dxa" w:w="72"/>
              <w:left w:type="dxa" w:w="115"/>
              <w:bottom w:type="dxa" w:w="72"/>
              <w:right w:type="dxa" w:w="115"/>
            </w:tcMar>
            <w:vAlign w:val="top"/>
          </w:tcPr>
          <w:p>
            <w:pPr>
              <w:spacing w:after="140"/>
            </w:pPr>
            <w:r>
              <w:rPr>
                <w:b w:val="false"/>
                <w:bCs w:val="false"/>
                <w:color w:val="201E1D"/>
                <w:sz w:val="22"/>
                <w:szCs w:val="22"/>
              </w:rPr>
              <w:t xml:space="preserve">Nil</w:t>
            </w:r>
          </w:p>
        </w:tc>
      </w:tr>
    </w:tbl>
    <w:p>
      <w:pPr>
        <w:pStyle w:val="Heading2"/>
        <w:pBdr>
          <w:bottom w:val="single" w:color="EC3013" w:sz="12" w:space="2"/>
        </w:pBdr>
        <w:spacing w:after="220" w:before="280"/>
      </w:pPr>
      <w:r>
        <w:rPr>
          <w:b/>
          <w:bCs/>
          <w:color w:val="201E1D"/>
          <w:sz w:val="28"/>
          <w:szCs w:val="28"/>
        </w:rPr>
        <w:t xml:space="preserve">Delivery plan</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6%"/>
            <w:shd w:fill="201E1D" w:color="auto" w:val="clear"/>
            <w:tcMar>
              <w:top w:type="dxa" w:w="72"/>
              <w:left w:type="dxa" w:w="115"/>
              <w:bottom w:type="dxa" w:w="72"/>
              <w:right w:type="dxa" w:w="115"/>
            </w:tcMar>
            <w:vAlign w:val="top"/>
          </w:tcPr>
          <w:p>
            <w:pPr>
              <w:spacing w:after="140"/>
            </w:pPr>
            <w:r>
              <w:rPr>
                <w:b/>
                <w:bCs/>
                <w:color w:val="FFFFFF"/>
                <w:sz w:val="22"/>
                <w:szCs w:val="22"/>
              </w:rPr>
              <w:t xml:space="preserve">#</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Learning module / topic</w:t>
            </w:r>
          </w:p>
        </w:tc>
        <w:tc>
          <w:tcPr>
            <w:tcW w:type="pct" w:w="22%"/>
            <w:shd w:fill="201E1D" w:color="auto" w:val="clear"/>
            <w:tcMar>
              <w:top w:type="dxa" w:w="72"/>
              <w:left w:type="dxa" w:w="115"/>
              <w:bottom w:type="dxa" w:w="72"/>
              <w:right w:type="dxa" w:w="115"/>
            </w:tcMar>
            <w:vAlign w:val="top"/>
          </w:tcPr>
          <w:p>
            <w:pPr>
              <w:spacing w:after="140"/>
            </w:pPr>
            <w:r>
              <w:rPr>
                <w:b/>
                <w:bCs/>
                <w:color w:val="FFFFFF"/>
                <w:sz w:val="22"/>
                <w:szCs w:val="22"/>
              </w:rPr>
              <w:t xml:space="preserve">Criteria introduced</w:t>
            </w:r>
          </w:p>
        </w:tc>
        <w:tc>
          <w:tcPr>
            <w:tcW w:type="pct" w:w="18%"/>
            <w:shd w:fill="201E1D" w:color="auto" w:val="clear"/>
            <w:tcMar>
              <w:top w:type="dxa" w:w="72"/>
              <w:left w:type="dxa" w:w="115"/>
              <w:bottom w:type="dxa" w:w="72"/>
              <w:right w:type="dxa" w:w="115"/>
            </w:tcMar>
            <w:vAlign w:val="top"/>
          </w:tcPr>
          <w:p>
            <w:pPr>
              <w:spacing w:after="140"/>
            </w:pPr>
            <w:r>
              <w:rPr>
                <w:b/>
                <w:bCs/>
                <w:color w:val="FFFFFF"/>
                <w:sz w:val="22"/>
                <w:szCs w:val="22"/>
              </w:rPr>
              <w:t xml:space="preserve">Session / week</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w:t>
            </w:r>
          </w:p>
        </w:tc>
        <w:tc>
          <w:tcPr>
            <w:tcMar>
              <w:top w:type="dxa" w:w="72"/>
              <w:left w:type="dxa" w:w="115"/>
              <w:bottom w:type="dxa" w:w="72"/>
              <w:right w:type="dxa" w:w="115"/>
            </w:tcMar>
            <w:vAlign w:val="top"/>
          </w:tcPr>
          <w:p>
            <w:pPr>
              <w:spacing w:after="140"/>
            </w:pPr>
            <w:r>
              <w:rPr>
                <w:b w:val="false"/>
                <w:bCs w:val="false"/>
                <w:color w:val="201E1D"/>
                <w:sz w:val="22"/>
                <w:szCs w:val="22"/>
              </w:rPr>
              <w:t xml:space="preserve">Plan and prepare</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w:t>
            </w:r>
          </w:p>
        </w:tc>
        <w:tc>
          <w:tcPr>
            <w:tcMar>
              <w:top w:type="dxa" w:w="72"/>
              <w:left w:type="dxa" w:w="115"/>
              <w:bottom w:type="dxa" w:w="72"/>
              <w:right w:type="dxa" w:w="115"/>
            </w:tcMar>
            <w:vAlign w:val="top"/>
          </w:tcPr>
          <w:p>
            <w:pPr>
              <w:spacing w:after="140"/>
            </w:pPr>
            <w:r>
              <w:rPr>
                <w:b w:val="false"/>
                <w:bCs w:val="false"/>
                <w:color w:val="201E1D"/>
                <w:sz w:val="22"/>
                <w:szCs w:val="22"/>
              </w:rPr>
              <w:t xml:space="preserve">Set up and use levelling device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2.1, 2.2, 2.3, 2.4</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w:t>
            </w:r>
          </w:p>
        </w:tc>
        <w:tc>
          <w:tcPr>
            <w:tcMar>
              <w:top w:type="dxa" w:w="72"/>
              <w:left w:type="dxa" w:w="115"/>
              <w:bottom w:type="dxa" w:w="72"/>
              <w:right w:type="dxa" w:w="115"/>
            </w:tcMar>
            <w:vAlign w:val="top"/>
          </w:tcPr>
          <w:p>
            <w:pPr>
              <w:spacing w:after="140"/>
            </w:pPr>
            <w:r>
              <w:rPr>
                <w:b w:val="false"/>
                <w:bCs w:val="false"/>
                <w:color w:val="201E1D"/>
                <w:sz w:val="22"/>
                <w:szCs w:val="22"/>
              </w:rPr>
              <w:t xml:space="preserve">Clean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spacing w:after="140"/>
      </w:pPr>
      <w:r>
        <w:rPr>
          <w:b w:val="false"/>
          <w:bCs w:val="false"/>
          <w:color w:val="6B6560"/>
          <w:sz w:val="18"/>
          <w:szCs w:val="18"/>
        </w:rPr>
        <w:t xml:space="preserve">Fill the session column to match your timetable, or set it once on the Export tab and it appears here.</w:t>
      </w:r>
    </w:p>
    <w:p>
      <w:pPr>
        <w:pStyle w:val="Heading2"/>
        <w:pBdr>
          <w:bottom w:val="single" w:color="EC3013" w:sz="12" w:space="2"/>
        </w:pBdr>
        <w:spacing w:after="220" w:before="280"/>
      </w:pPr>
      <w:r>
        <w:rPr>
          <w:b/>
          <w:bCs/>
          <w:color w:val="201E1D"/>
          <w:sz w:val="28"/>
          <w:szCs w:val="28"/>
        </w:rPr>
        <w:t xml:space="preserve">Assessment methods and tools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gridCol w:w="100"/>
      </w:tblGrid>
      <w:tr>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Assessment tool</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Contents</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Method</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Criteria addressed</w:t>
            </w:r>
          </w:p>
        </w:tc>
        <w:tc>
          <w:tcPr>
            <w:tcW w:type="pct" w:w="16%"/>
            <w:shd w:fill="201E1D" w:color="auto" w:val="clear"/>
            <w:tcMar>
              <w:top w:type="dxa" w:w="72"/>
              <w:left w:type="dxa" w:w="115"/>
              <w:bottom w:type="dxa" w:w="72"/>
              <w:right w:type="dxa" w:w="115"/>
            </w:tcMar>
            <w:vAlign w:val="top"/>
          </w:tcPr>
          <w:p>
            <w:pPr>
              <w:spacing w:after="140"/>
            </w:pPr>
            <w:r>
              <w:rPr>
                <w:b/>
                <w:bCs/>
                <w:color w:val="FFFFFF"/>
                <w:sz w:val="22"/>
                <w:szCs w:val="22"/>
              </w:rPr>
              <w:t xml:space="preserve">When (week / 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Written assessment (knowledge questions)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39 questions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Written responses</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Video assessment: Element 1: Plan and prepare</w:t>
            </w:r>
          </w:p>
        </w:tc>
        <w:tc>
          <w:tcPr>
            <w:tcMar>
              <w:top w:type="dxa" w:w="72"/>
              <w:left w:type="dxa" w:w="115"/>
              <w:bottom w:type="dxa" w:w="72"/>
              <w:right w:type="dxa" w:w="115"/>
            </w:tcMar>
            <w:vAlign w:val="top"/>
          </w:tcPr>
          <w:p>
            <w:pPr>
              <w:spacing w:after="140"/>
            </w:pPr>
            <w:r>
              <w:rPr>
                <w:b w:val="false"/>
                <w:bCs w:val="false"/>
                <w:color w:val="201E1D"/>
                <w:sz w:val="22"/>
                <w:szCs w:val="22"/>
              </w:rPr>
              <w:t xml:space="preserve">Say-and-do video with a shot list</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(recorded)</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Video assessment: Element 2: Set up and use levelling device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Say-and-do video with a shot list</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(recorded)</w:t>
            </w:r>
          </w:p>
        </w:tc>
        <w:tc>
          <w:tcPr>
            <w:tcMar>
              <w:top w:type="dxa" w:w="72"/>
              <w:left w:type="dxa" w:w="115"/>
              <w:bottom w:type="dxa" w:w="72"/>
              <w:right w:type="dxa" w:w="115"/>
            </w:tcMar>
            <w:vAlign w:val="top"/>
          </w:tcPr>
          <w:p>
            <w:pPr>
              <w:spacing w:after="140"/>
            </w:pPr>
            <w:r>
              <w:rPr>
                <w:b w:val="false"/>
                <w:bCs w:val="false"/>
                <w:color w:val="201E1D"/>
                <w:sz w:val="22"/>
                <w:szCs w:val="22"/>
              </w:rPr>
              <w:t xml:space="preserve">2.1, 2.2, 2.3, 2.4</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Video assessment: Element 3: Clean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Say-and-do video with a shot list</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(recorded)</w:t>
            </w:r>
          </w:p>
        </w:tc>
        <w:tc>
          <w:tcPr>
            <w:tcMar>
              <w:top w:type="dxa" w:w="72"/>
              <w:left w:type="dxa" w:w="115"/>
              <w:bottom w:type="dxa" w:w="72"/>
              <w:right w:type="dxa" w:w="115"/>
            </w:tcMar>
            <w:vAlign w:val="top"/>
          </w:tcPr>
          <w:p>
            <w:pPr>
              <w:spacing w:after="140"/>
            </w:pPr>
            <w:r>
              <w:rPr>
                <w:b w:val="false"/>
                <w:bCs w:val="false"/>
                <w:color w:val="201E1D"/>
                <w:sz w:val="22"/>
                <w:szCs w:val="22"/>
              </w:rPr>
              <w:t xml:space="preserve">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Observation checklists</w:t>
            </w:r>
          </w:p>
        </w:tc>
        <w:tc>
          <w:tcPr>
            <w:tcMar>
              <w:top w:type="dxa" w:w="72"/>
              <w:left w:type="dxa" w:w="115"/>
              <w:bottom w:type="dxa" w:w="72"/>
              <w:right w:type="dxa" w:w="115"/>
            </w:tcMar>
            <w:vAlign w:val="top"/>
          </w:tcPr>
          <w:p>
            <w:pPr>
              <w:spacing w:after="140"/>
            </w:pPr>
            <w:r>
              <w:rPr>
                <w:b w:val="false"/>
                <w:bCs w:val="false"/>
                <w:color w:val="201E1D"/>
                <w:sz w:val="22"/>
                <w:szCs w:val="22"/>
              </w:rPr>
              <w:t xml:space="preserve">6 checklists</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Portfolio of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1 portfolio task</w:t>
            </w:r>
          </w:p>
        </w:tc>
        <w:tc>
          <w:tcPr>
            <w:tcMar>
              <w:top w:type="dxa" w:w="72"/>
              <w:left w:type="dxa" w:w="115"/>
              <w:bottom w:type="dxa" w:w="72"/>
              <w:right w:type="dxa" w:w="115"/>
            </w:tcMar>
            <w:vAlign w:val="top"/>
          </w:tcPr>
          <w:p>
            <w:pPr>
              <w:spacing w:after="140"/>
            </w:pPr>
            <w:r>
              <w:rPr>
                <w:b w:val="false"/>
                <w:bCs w:val="false"/>
                <w:color w:val="201E1D"/>
                <w:sz w:val="22"/>
                <w:szCs w:val="22"/>
              </w:rPr>
              <w:t xml:space="preserve">Product / documentary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Site documents (Job Safety Analysis, Hazard Report Form, Incident / Near-miss Report)</w:t>
            </w:r>
          </w:p>
        </w:tc>
        <w:tc>
          <w:tcPr>
            <w:tcMar>
              <w:top w:type="dxa" w:w="72"/>
              <w:left w:type="dxa" w:w="115"/>
              <w:bottom w:type="dxa" w:w="72"/>
              <w:right w:type="dxa" w:w="115"/>
            </w:tcMar>
            <w:vAlign w:val="top"/>
          </w:tcPr>
          <w:p>
            <w:pPr>
              <w:spacing w:after="140"/>
            </w:pPr>
            <w:r>
              <w:rPr>
                <w:b w:val="false"/>
                <w:bCs w:val="false"/>
                <w:color w:val="201E1D"/>
                <w:sz w:val="22"/>
                <w:szCs w:val="22"/>
              </w:rPr>
              <w:t xml:space="preserve">3 completed workplace documents</w:t>
            </w:r>
          </w:p>
        </w:tc>
        <w:tc>
          <w:tcPr>
            <w:tcMar>
              <w:top w:type="dxa" w:w="72"/>
              <w:left w:type="dxa" w:w="115"/>
              <w:bottom w:type="dxa" w:w="72"/>
              <w:right w:type="dxa" w:w="115"/>
            </w:tcMar>
            <w:vAlign w:val="top"/>
          </w:tcPr>
          <w:p>
            <w:pPr>
              <w:spacing w:after="140"/>
            </w:pPr>
            <w:r>
              <w:rPr>
                <w:b w:val="false"/>
                <w:bCs w:val="false"/>
                <w:color w:val="201E1D"/>
                <w:sz w:val="22"/>
                <w:szCs w:val="22"/>
              </w:rPr>
              <w:t xml:space="preserve">Product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1.3</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(occasion 1 of 3)</w:t>
            </w:r>
          </w:p>
        </w:tc>
        <w:tc>
          <w:tcPr>
            <w:tcMar>
              <w:top w:type="dxa" w:w="72"/>
              <w:left w:type="dxa" w:w="115"/>
              <w:bottom w:type="dxa" w:w="72"/>
              <w:right w:type="dxa" w:w="115"/>
            </w:tcMar>
            <w:vAlign w:val="top"/>
          </w:tcPr>
          <w:p>
            <w:pPr>
              <w:spacing w:after="140"/>
            </w:pPr>
            <w:r>
              <w:rPr>
                <w:b w:val="false"/>
                <w:bCs w:val="false"/>
                <w:color w:val="201E1D"/>
                <w:sz w:val="22"/>
                <w:szCs w:val="22"/>
              </w:rPr>
              <w:t xml:space="preserve">Assessor observation record, completed live</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 (occasion 2 of 3)</w:t>
            </w:r>
          </w:p>
        </w:tc>
        <w:tc>
          <w:tcPr>
            <w:tcMar>
              <w:top w:type="dxa" w:w="72"/>
              <w:left w:type="dxa" w:w="115"/>
              <w:bottom w:type="dxa" w:w="72"/>
              <w:right w:type="dxa" w:w="115"/>
            </w:tcMar>
            <w:vAlign w:val="top"/>
          </w:tcPr>
          <w:p>
            <w:pPr>
              <w:spacing w:after="140"/>
            </w:pPr>
            <w:r>
              <w:rPr>
                <w:b w:val="false"/>
                <w:bCs w:val="false"/>
                <w:color w:val="201E1D"/>
                <w:sz w:val="22"/>
                <w:szCs w:val="22"/>
              </w:rPr>
              <w:t xml:space="preserve">Assessor observation record, completed live</w:t>
            </w:r>
          </w:p>
        </w:tc>
        <w:tc>
          <w:tcPr>
            <w:tcMar>
              <w:top w:type="dxa" w:w="72"/>
              <w:left w:type="dxa" w:w="115"/>
              <w:bottom w:type="dxa" w:w="72"/>
              <w:right w:type="dxa" w:w="115"/>
            </w:tcMar>
            <w:vAlign w:val="top"/>
          </w:tcPr>
          <w:p>
            <w:pPr>
              <w:spacing w:after="140"/>
            </w:pPr>
            <w:r>
              <w:rPr>
                <w:b w:val="false"/>
                <w:bCs w:val="false"/>
                <w:color w:val="201E1D"/>
                <w:sz w:val="22"/>
                <w:szCs w:val="22"/>
              </w:rPr>
              <w:t xml:space="preserve">Direct observation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1.1, 1.2, 1.3, 1.4, 1.5, 2.1, 2.2, 2.3, 2.4, 3.1, 3.2</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spacing w:after="140"/>
      </w:pPr>
      <w:r>
        <w:rPr>
          <w:b w:val="false"/>
          <w:bCs w:val="false"/>
          <w:color w:val="6B6560"/>
          <w:sz w:val="18"/>
          <w:szCs w:val="18"/>
        </w:rPr>
        <w:t xml:space="preserve">Item-level mapping evidence: attach “CPCCCM2006 mapping document.docx”.</w:t>
      </w:r>
    </w:p>
    <w:p>
      <w:pPr>
        <w:spacing w:after="140"/>
      </w:pPr>
      <w:r>
        <w:rPr>
          <w:b w:val="false"/>
          <w:bCs w:val="false"/>
          <w:color w:val="201E1D"/>
          <w:sz w:val="22"/>
          <w:szCs w:val="22"/>
        </w:rPr>
        <w:t xml:space="preserve">Every performance criterion, performance evidence and knowledge evidence item is covered by the tools above.</w:t>
      </w:r>
    </w:p>
    <w:p>
      <w:pPr>
        <w:pStyle w:val="Heading2"/>
        <w:pBdr>
          <w:bottom w:val="single" w:color="EC3013" w:sz="12" w:space="2"/>
        </w:pBdr>
        <w:spacing w:after="220" w:before="280"/>
      </w:pPr>
      <w:r>
        <w:rPr>
          <w:b/>
          <w:bCs/>
          <w:color w:val="201E1D"/>
          <w:sz w:val="28"/>
          <w:szCs w:val="28"/>
        </w:rPr>
        <w:t xml:space="preserve">Assessment conditions</w:t>
      </w:r>
    </w:p>
    <w:p>
      <w:pPr>
        <w:spacing w:after="140"/>
      </w:pPr>
      <w:r>
        <w:rPr>
          <w:b w:val="false"/>
          <w:bCs w:val="false"/>
          <w:color w:val="201E1D"/>
          <w:sz w:val="22"/>
          <w:szCs w:val="22"/>
        </w:rPr>
        <w:t xml:space="preserve">· Suitable assessment of performance requires:</w:t>
      </w:r>
    </w:p>
    <w:p>
      <w:pPr>
        <w:spacing w:after="140"/>
      </w:pPr>
      <w:r>
        <w:rPr>
          <w:b w:val="false"/>
          <w:bCs w:val="false"/>
          <w:color w:val="201E1D"/>
          <w:sz w:val="22"/>
          <w:szCs w:val="22"/>
        </w:rPr>
        <w:t xml:space="preserve">· equipment and tools:</w:t>
      </w:r>
    </w:p>
    <w:p>
      <w:pPr>
        <w:spacing w:after="140"/>
      </w:pPr>
      <w:r>
        <w:rPr>
          <w:b w:val="false"/>
          <w:bCs w:val="false"/>
          <w:color w:val="201E1D"/>
          <w:sz w:val="22"/>
          <w:szCs w:val="22"/>
        </w:rPr>
        <w:t xml:space="preserve">· as listed in the range of conditions and assessment requirements</w:t>
      </w:r>
    </w:p>
    <w:p>
      <w:pPr>
        <w:spacing w:after="140"/>
      </w:pPr>
      <w:r>
        <w:rPr>
          <w:b w:val="false"/>
          <w:bCs w:val="false"/>
          <w:color w:val="201E1D"/>
          <w:sz w:val="22"/>
          <w:szCs w:val="22"/>
        </w:rPr>
        <w:t xml:space="preserve">· specifications:</w:t>
      </w:r>
    </w:p>
    <w:p>
      <w:pPr>
        <w:spacing w:after="140"/>
      </w:pPr>
      <w:r>
        <w:rPr>
          <w:b w:val="false"/>
          <w:bCs w:val="false"/>
          <w:color w:val="201E1D"/>
          <w:sz w:val="22"/>
          <w:szCs w:val="22"/>
        </w:rPr>
        <w:t xml:space="preserve">· job requirements</w:t>
      </w:r>
    </w:p>
    <w:p>
      <w:pPr>
        <w:spacing w:after="140"/>
      </w:pPr>
      <w:r>
        <w:rPr>
          <w:b w:val="false"/>
          <w:bCs w:val="false"/>
          <w:color w:val="201E1D"/>
          <w:sz w:val="22"/>
          <w:szCs w:val="22"/>
        </w:rPr>
        <w:t xml:space="preserve">· health and safety requirements</w:t>
      </w:r>
    </w:p>
    <w:p>
      <w:pPr>
        <w:spacing w:after="140"/>
      </w:pPr>
      <w:r>
        <w:rPr>
          <w:b w:val="false"/>
          <w:bCs w:val="false"/>
          <w:color w:val="201E1D"/>
          <w:sz w:val="22"/>
          <w:szCs w:val="22"/>
        </w:rPr>
        <w:t xml:space="preserve">· manufacturer specifications</w:t>
      </w:r>
    </w:p>
    <w:p>
      <w:pPr>
        <w:spacing w:after="140"/>
      </w:pPr>
      <w:r>
        <w:rPr>
          <w:b w:val="false"/>
          <w:bCs w:val="false"/>
          <w:color w:val="201E1D"/>
          <w:sz w:val="22"/>
          <w:szCs w:val="22"/>
        </w:rPr>
        <w:t xml:space="preserve">· safety data sheets (SDS)</w:t>
      </w:r>
    </w:p>
    <w:p>
      <w:pPr>
        <w:spacing w:after="140"/>
      </w:pPr>
      <w:r>
        <w:rPr>
          <w:b w:val="false"/>
          <w:bCs w:val="false"/>
          <w:color w:val="201E1D"/>
          <w:sz w:val="22"/>
          <w:szCs w:val="22"/>
        </w:rPr>
        <w:t xml:space="preserve">· SWMS</w:t>
      </w:r>
    </w:p>
    <w:p>
      <w:pPr>
        <w:spacing w:after="140"/>
      </w:pPr>
      <w:r>
        <w:rPr>
          <w:b w:val="false"/>
          <w:bCs w:val="false"/>
          <w:color w:val="201E1D"/>
          <w:sz w:val="22"/>
          <w:szCs w:val="22"/>
        </w:rPr>
        <w:t xml:space="preserve">· workplace and relevant work site procedures</w:t>
      </w:r>
    </w:p>
    <w:p>
      <w:pPr>
        <w:spacing w:after="140"/>
      </w:pPr>
      <w:r>
        <w:rPr>
          <w:b w:val="false"/>
          <w:bCs w:val="false"/>
          <w:color w:val="201E1D"/>
          <w:sz w:val="22"/>
          <w:szCs w:val="22"/>
        </w:rPr>
        <w:t xml:space="preserve">· relationships with team members and supervisor:</w:t>
      </w:r>
    </w:p>
    <w:p>
      <w:pPr>
        <w:spacing w:after="140"/>
      </w:pPr>
      <w:r>
        <w:rPr>
          <w:b w:val="false"/>
          <w:bCs w:val="false"/>
          <w:color w:val="201E1D"/>
          <w:sz w:val="22"/>
          <w:szCs w:val="22"/>
        </w:rPr>
        <w:t xml:space="preserve">· work must be completed as part of a team and under direct supervision and observation</w:t>
      </w:r>
    </w:p>
    <w:p>
      <w:pPr>
        <w:spacing w:after="140"/>
      </w:pPr>
      <w:r>
        <w:rPr>
          <w:b w:val="false"/>
          <w:bCs w:val="false"/>
          <w:color w:val="201E1D"/>
          <w:sz w:val="22"/>
          <w:szCs w:val="22"/>
        </w:rPr>
        <w:t xml:space="preserve">· timeframe:</w:t>
      </w:r>
    </w:p>
    <w:p>
      <w:pPr>
        <w:spacing w:after="140"/>
      </w:pPr>
      <w:r>
        <w:rPr>
          <w:b w:val="false"/>
          <w:bCs w:val="false"/>
          <w:color w:val="201E1D"/>
          <w:sz w:val="22"/>
          <w:szCs w:val="22"/>
        </w:rPr>
        <w:t xml:space="preserve">· according to job requirements.</w:t>
      </w:r>
    </w:p>
    <w:p>
      <w:pPr>
        <w:spacing w:after="140"/>
      </w:pPr>
      <w:r>
        <w:rPr>
          <w:b w:val="false"/>
          <w:bCs w:val="false"/>
          <w:color w:val="201E1D"/>
          <w:sz w:val="22"/>
          <w:szCs w:val="22"/>
        </w:rPr>
        <w:t xml:space="preserve">· Assessor requirements As a minimum, assessors must satisfy the assessor requirements in the Standards for Registered Training Organisations (RTOs) current at the time of assessment.</w:t>
      </w:r>
    </w:p>
    <w:p>
      <w:pPr>
        <w:pStyle w:val="Heading2"/>
        <w:pBdr>
          <w:bottom w:val="single" w:color="EC3013" w:sz="12" w:space="2"/>
        </w:pBdr>
        <w:spacing w:after="220" w:before="280"/>
      </w:pPr>
      <w:r>
        <w:rPr>
          <w:b/>
          <w:bCs/>
          <w:color w:val="201E1D"/>
          <w:sz w:val="28"/>
          <w:szCs w:val="28"/>
        </w:rPr>
        <w:t xml:space="preserve">Physical resources</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spacing w:after="140"/>
      </w:pPr>
      <w:r>
        <w:rPr>
          <w:b w:val="false"/>
          <w:bCs w:val="false"/>
          <w:color w:val="201E1D"/>
          <w:sz w:val="22"/>
          <w:szCs w:val="22"/>
        </w:rPr>
        <w:t xml:space="preserve">· Automatic (dumpy) or optical level with its carry case and manufacturer's manual</w:t>
      </w:r>
    </w:p>
    <w:p>
      <w:pPr>
        <w:spacing w:after="140"/>
      </w:pPr>
      <w:r>
        <w:rPr>
          <w:b w:val="false"/>
          <w:bCs w:val="false"/>
          <w:color w:val="201E1D"/>
          <w:sz w:val="22"/>
          <w:szCs w:val="22"/>
        </w:rPr>
        <w:t xml:space="preserve">· Heavy-duty aluminium tripod with adjustable legs and fixing screw</w:t>
      </w:r>
    </w:p>
    <w:p>
      <w:pPr>
        <w:spacing w:after="140"/>
      </w:pPr>
      <w:r>
        <w:rPr>
          <w:b w:val="false"/>
          <w:bCs w:val="false"/>
          <w:color w:val="201E1D"/>
          <w:sz w:val="22"/>
          <w:szCs w:val="22"/>
        </w:rPr>
        <w:t xml:space="preserve">· 5 m telescopic E-face levelling staff with staff bubble</w:t>
      </w:r>
    </w:p>
    <w:p>
      <w:pPr>
        <w:spacing w:after="140"/>
      </w:pPr>
      <w:r>
        <w:rPr>
          <w:b w:val="false"/>
          <w:bCs w:val="false"/>
          <w:color w:val="201E1D"/>
          <w:sz w:val="22"/>
          <w:szCs w:val="22"/>
        </w:rPr>
        <w:t xml:space="preserve">· 1200 mm box-section spirit level and 3 m aluminium straight edge</w:t>
      </w:r>
    </w:p>
    <w:p>
      <w:pPr>
        <w:spacing w:after="140"/>
      </w:pPr>
      <w:r>
        <w:rPr>
          <w:b w:val="false"/>
          <w:bCs w:val="false"/>
          <w:color w:val="201E1D"/>
          <w:sz w:val="22"/>
          <w:szCs w:val="22"/>
        </w:rPr>
        <w:t xml:space="preserve">· Rotating laser level with tripod, laser detector and clamp, and its manual</w:t>
      </w:r>
    </w:p>
    <w:p>
      <w:pPr>
        <w:spacing w:after="140"/>
      </w:pPr>
      <w:r>
        <w:rPr>
          <w:b w:val="false"/>
          <w:bCs w:val="false"/>
          <w:color w:val="201E1D"/>
          <w:sz w:val="22"/>
          <w:szCs w:val="22"/>
        </w:rPr>
        <w:t xml:space="preserve">· 20 m clear water level hose with end fittings, plus clean water</w:t>
      </w:r>
    </w:p>
    <w:p>
      <w:pPr>
        <w:spacing w:after="140"/>
      </w:pPr>
      <w:r>
        <w:rPr>
          <w:b w:val="false"/>
          <w:bCs w:val="false"/>
          <w:color w:val="201E1D"/>
          <w:sz w:val="22"/>
          <w:szCs w:val="22"/>
        </w:rPr>
        <w:t xml:space="preserve">· Timber pegs (50 x 50) and a claw hammer or peg driver</w:t>
      </w:r>
    </w:p>
    <w:p>
      <w:pPr>
        <w:spacing w:after="140"/>
      </w:pPr>
      <w:r>
        <w:rPr>
          <w:b w:val="false"/>
          <w:bCs w:val="false"/>
          <w:color w:val="201E1D"/>
          <w:sz w:val="22"/>
          <w:szCs w:val="22"/>
        </w:rPr>
        <w:t xml:space="preserve">· Stringline and line blocks</w:t>
      </w:r>
    </w:p>
    <w:p>
      <w:pPr>
        <w:spacing w:after="140"/>
      </w:pPr>
      <w:r>
        <w:rPr>
          <w:b w:val="false"/>
          <w:bCs w:val="false"/>
          <w:color w:val="201E1D"/>
          <w:sz w:val="22"/>
          <w:szCs w:val="22"/>
        </w:rPr>
        <w:t xml:space="preserve">· 8 m tape measure and a 30 m fibreglass tape</w:t>
      </w:r>
    </w:p>
    <w:p>
      <w:pPr>
        <w:spacing w:after="140"/>
      </w:pPr>
      <w:r>
        <w:rPr>
          <w:b w:val="false"/>
          <w:bCs w:val="false"/>
          <w:color w:val="201E1D"/>
          <w:sz w:val="22"/>
          <w:szCs w:val="22"/>
        </w:rPr>
        <w:t xml:space="preserve">· Carpenter's pencil, fine 0.5 mm mechanical pencil, marking crayon and permanent marker</w:t>
      </w:r>
    </w:p>
    <w:p>
      <w:pPr>
        <w:spacing w:after="140"/>
      </w:pPr>
      <w:r>
        <w:rPr>
          <w:b w:val="false"/>
          <w:bCs w:val="false"/>
          <w:color w:val="201E1D"/>
          <w:sz w:val="22"/>
          <w:szCs w:val="22"/>
        </w:rPr>
        <w:t xml:space="preserve">· Nails or marker blocks for marking on surfaces that will not hold a pencil line</w:t>
      </w:r>
    </w:p>
    <w:p>
      <w:pPr>
        <w:spacing w:after="140"/>
      </w:pPr>
      <w:r>
        <w:rPr>
          <w:b w:val="false"/>
          <w:bCs w:val="false"/>
          <w:color w:val="201E1D"/>
          <w:sz w:val="22"/>
          <w:szCs w:val="22"/>
        </w:rPr>
        <w:t xml:space="preserve">· Level book or organisational levelling booking sheet, clipboard and calculator</w:t>
      </w:r>
    </w:p>
    <w:p>
      <w:pPr>
        <w:spacing w:after="140"/>
      </w:pPr>
      <w:r>
        <w:rPr>
          <w:b w:val="false"/>
          <w:bCs w:val="false"/>
          <w:color w:val="201E1D"/>
          <w:sz w:val="22"/>
          <w:szCs w:val="22"/>
        </w:rPr>
        <w:t xml:space="preserve">· Job set-out sheet, slab and footing plan and the site datum details</w:t>
      </w:r>
    </w:p>
    <w:p>
      <w:pPr>
        <w:spacing w:after="140"/>
      </w:pPr>
      <w:r>
        <w:rPr>
          <w:b w:val="false"/>
          <w:bCs w:val="false"/>
          <w:color w:val="201E1D"/>
          <w:sz w:val="22"/>
          <w:szCs w:val="22"/>
        </w:rPr>
        <w:t xml:space="preserve">· SWMS for levelling work and the site safety plan</w:t>
      </w:r>
    </w:p>
    <w:p>
      <w:pPr>
        <w:spacing w:after="140"/>
      </w:pPr>
      <w:r>
        <w:rPr>
          <w:b w:val="false"/>
          <w:bCs w:val="false"/>
          <w:color w:val="201E1D"/>
          <w:sz w:val="22"/>
          <w:szCs w:val="22"/>
        </w:rPr>
        <w:t xml:space="preserve">· Hard hat, hi-vis long-sleeve shirt, safety boots, safety glasses, gloves, sunscreen</w:t>
      </w:r>
    </w:p>
    <w:p>
      <w:pPr>
        <w:spacing w:after="140"/>
      </w:pPr>
      <w:r>
        <w:rPr>
          <w:b w:val="false"/>
          <w:bCs w:val="false"/>
          <w:color w:val="201E1D"/>
          <w:sz w:val="22"/>
          <w:szCs w:val="22"/>
        </w:rPr>
        <w:t xml:space="preserve">· Traffic cones or barrier mesh to protect the tripod set-up</w:t>
      </w:r>
    </w:p>
    <w:p>
      <w:pPr>
        <w:spacing w:after="140"/>
      </w:pPr>
      <w:r>
        <w:rPr>
          <w:b w:val="false"/>
          <w:bCs w:val="false"/>
          <w:color w:val="201E1D"/>
          <w:sz w:val="22"/>
          <w:szCs w:val="22"/>
        </w:rPr>
        <w:t xml:space="preserve">· Automatic or optical level with its manufacturer's manual and padded carry case</w:t>
      </w:r>
    </w:p>
    <w:p>
      <w:pPr>
        <w:spacing w:after="140"/>
      </w:pPr>
      <w:r>
        <w:rPr>
          <w:b w:val="false"/>
          <w:bCs w:val="false"/>
          <w:color w:val="201E1D"/>
          <w:sz w:val="22"/>
          <w:szCs w:val="22"/>
        </w:rPr>
        <w:t xml:space="preserve">· Aluminium tripod with adjustable legs, wing nuts and rubber or spiked shoes</w:t>
      </w:r>
    </w:p>
    <w:p>
      <w:pPr>
        <w:spacing w:after="140"/>
      </w:pPr>
      <w:r>
        <w:rPr>
          <w:b w:val="false"/>
          <w:bCs w:val="false"/>
          <w:color w:val="201E1D"/>
          <w:sz w:val="22"/>
          <w:szCs w:val="22"/>
        </w:rPr>
        <w:t xml:space="preserve">· 5 m telescopic levelling staff with a staff bubble</w:t>
      </w:r>
    </w:p>
    <w:p>
      <w:pPr>
        <w:spacing w:after="140"/>
      </w:pPr>
      <w:r>
        <w:rPr>
          <w:b w:val="false"/>
          <w:bCs w:val="false"/>
          <w:color w:val="201E1D"/>
          <w:sz w:val="22"/>
          <w:szCs w:val="22"/>
        </w:rPr>
        <w:t xml:space="preserve">· Rotating laser level with detector, staff clamp and remote</w:t>
      </w:r>
    </w:p>
    <w:p>
      <w:pPr>
        <w:spacing w:after="140"/>
      </w:pPr>
      <w:r>
        <w:rPr>
          <w:b w:val="false"/>
          <w:bCs w:val="false"/>
          <w:color w:val="201E1D"/>
          <w:sz w:val="22"/>
          <w:szCs w:val="22"/>
        </w:rPr>
        <w:t xml:space="preserve">· 1200 mm box spirit level and 1.8 m aluminium straight edge</w:t>
      </w:r>
    </w:p>
    <w:p>
      <w:pPr>
        <w:spacing w:after="140"/>
      </w:pPr>
      <w:r>
        <w:rPr>
          <w:b w:val="false"/>
          <w:bCs w:val="false"/>
          <w:color w:val="201E1D"/>
          <w:sz w:val="22"/>
          <w:szCs w:val="22"/>
        </w:rPr>
        <w:t xml:space="preserve">· Water level hose and fittings, and a bucket for draining</w:t>
      </w:r>
    </w:p>
    <w:p>
      <w:pPr>
        <w:spacing w:after="140"/>
      </w:pPr>
      <w:r>
        <w:rPr>
          <w:b w:val="false"/>
          <w:bCs w:val="false"/>
          <w:color w:val="201E1D"/>
          <w:sz w:val="22"/>
          <w:szCs w:val="22"/>
        </w:rPr>
        <w:t xml:space="preserve">· Claw hammer and star picket puller</w:t>
      </w:r>
    </w:p>
    <w:p>
      <w:pPr>
        <w:spacing w:after="140"/>
      </w:pPr>
      <w:r>
        <w:rPr>
          <w:b w:val="false"/>
          <w:bCs w:val="false"/>
          <w:color w:val="201E1D"/>
          <w:sz w:val="22"/>
          <w:szCs w:val="22"/>
        </w:rPr>
        <w:t xml:space="preserve">· Hi-vis peg caps, marking paint and witness pegs</w:t>
      </w:r>
    </w:p>
    <w:p>
      <w:pPr>
        <w:spacing w:after="140"/>
      </w:pPr>
      <w:r>
        <w:rPr>
          <w:b w:val="false"/>
          <w:bCs w:val="false"/>
          <w:color w:val="201E1D"/>
          <w:sz w:val="22"/>
          <w:szCs w:val="22"/>
        </w:rPr>
        <w:t xml:space="preserve">· Line winder and spare stringline</w:t>
      </w:r>
    </w:p>
    <w:p>
      <w:pPr>
        <w:spacing w:after="140"/>
      </w:pPr>
      <w:r>
        <w:rPr>
          <w:b w:val="false"/>
          <w:bCs w:val="false"/>
          <w:color w:val="201E1D"/>
          <w:sz w:val="22"/>
          <w:szCs w:val="22"/>
        </w:rPr>
        <w:t xml:space="preserve">· Lens brush or air blower, and a clean microfibre lens cloth</w:t>
      </w:r>
    </w:p>
    <w:p>
      <w:pPr>
        <w:spacing w:after="140"/>
      </w:pPr>
      <w:r>
        <w:rPr>
          <w:b w:val="false"/>
          <w:bCs w:val="false"/>
          <w:color w:val="201E1D"/>
          <w:sz w:val="22"/>
          <w:szCs w:val="22"/>
        </w:rPr>
        <w:t xml:space="preserve">· Clean lint-free rags, a spray bottle of clean water and a soft brush</w:t>
      </w:r>
    </w:p>
    <w:p>
      <w:pPr>
        <w:spacing w:after="140"/>
      </w:pPr>
      <w:r>
        <w:rPr>
          <w:b w:val="false"/>
          <w:bCs w:val="false"/>
          <w:color w:val="201E1D"/>
          <w:sz w:val="22"/>
          <w:szCs w:val="22"/>
        </w:rPr>
        <w:t xml:space="preserve">· Broom, shovel, wheelbarrow and rubbish bucket</w:t>
      </w:r>
    </w:p>
    <w:p>
      <w:pPr>
        <w:spacing w:after="140"/>
      </w:pPr>
      <w:r>
        <w:rPr>
          <w:b w:val="false"/>
          <w:bCs w:val="false"/>
          <w:color w:val="201E1D"/>
          <w:sz w:val="22"/>
          <w:szCs w:val="22"/>
        </w:rPr>
        <w:t xml:space="preserve">· Site waste management plan and bin signage for timber, metal, plastic, concrete and general waste</w:t>
      </w:r>
    </w:p>
    <w:p>
      <w:pPr>
        <w:spacing w:after="140"/>
      </w:pPr>
      <w:r>
        <w:rPr>
          <w:b w:val="false"/>
          <w:bCs w:val="false"/>
          <w:color w:val="201E1D"/>
          <w:sz w:val="22"/>
          <w:szCs w:val="22"/>
        </w:rPr>
        <w:t xml:space="preserve">· Controlled waste container for used batteries and empty aerosols</w:t>
      </w:r>
    </w:p>
    <w:p>
      <w:pPr>
        <w:spacing w:after="140"/>
      </w:pPr>
      <w:r>
        <w:rPr>
          <w:b w:val="false"/>
          <w:bCs w:val="false"/>
          <w:color w:val="201E1D"/>
          <w:sz w:val="22"/>
          <w:szCs w:val="22"/>
        </w:rPr>
        <w:t xml:space="preserve">· SDS for the marking paint in use</w:t>
      </w:r>
    </w:p>
    <w:p>
      <w:pPr>
        <w:spacing w:after="140"/>
      </w:pPr>
      <w:r>
        <w:rPr>
          <w:b w:val="false"/>
          <w:bCs w:val="false"/>
          <w:color w:val="201E1D"/>
          <w:sz w:val="22"/>
          <w:szCs w:val="22"/>
        </w:rPr>
        <w:t xml:space="preserve">· Out-of-service tags and the organisation's fault report form</w:t>
      </w:r>
    </w:p>
    <w:p>
      <w:pPr>
        <w:spacing w:after="140"/>
      </w:pPr>
      <w:r>
        <w:rPr>
          <w:b w:val="false"/>
          <w:bCs w:val="false"/>
          <w:color w:val="201E1D"/>
          <w:sz w:val="22"/>
          <w:szCs w:val="22"/>
        </w:rPr>
        <w:t xml:space="preserve">· Equipment and calibration register, and the job level book or field sheet</w:t>
      </w:r>
    </w:p>
    <w:p>
      <w:pPr>
        <w:spacing w:after="140"/>
      </w:pPr>
      <w:r>
        <w:rPr>
          <w:b w:val="false"/>
          <w:bCs w:val="false"/>
          <w:color w:val="201E1D"/>
          <w:sz w:val="22"/>
          <w:szCs w:val="22"/>
        </w:rPr>
        <w:t xml:space="preserve">· Hard hat, hi-vis clothing, steel-capped boots, safety glasses, cut-resistant gloves</w:t>
      </w:r>
    </w:p>
    <w:p>
      <w:pPr>
        <w:spacing w:after="140"/>
      </w:pPr>
      <w:r>
        <w:rPr>
          <w:b w:val="false"/>
          <w:bCs w:val="false"/>
          <w:color w:val="201E1D"/>
          <w:sz w:val="22"/>
          <w:szCs w:val="22"/>
        </w:rPr>
        <w:t xml:space="preserve">· P2 disposable respirator for dry sweeping of dust and dried slurry</w:t>
      </w:r>
    </w:p>
    <w:p>
      <w:pPr>
        <w:spacing w:after="140"/>
      </w:pPr>
      <w:r>
        <w:rPr>
          <w:b w:val="false"/>
          <w:bCs w:val="false"/>
          <w:color w:val="201E1D"/>
          <w:sz w:val="22"/>
          <w:szCs w:val="22"/>
        </w:rPr>
        <w:t xml:space="preserve">· Sunscreen and drinking water for outdoor work</w:t>
      </w:r>
    </w:p>
    <w:p>
      <w:pPr>
        <w:spacing w:after="140"/>
      </w:pPr>
      <w:r>
        <w:rPr>
          <w:b w:val="false"/>
          <w:bCs w:val="false"/>
          <w:color w:val="6B6560"/>
          <w:sz w:val="18"/>
          <w:szCs w:val="18"/>
        </w:rPr>
        <w:t xml:space="preserve">Confirm availability at the delivery site before the unit starts.</w:t>
      </w:r>
    </w:p>
    <w:p>
      <w:pPr>
        <w:pStyle w:val="Heading2"/>
        <w:pBdr>
          <w:bottom w:val="single" w:color="EC3013" w:sz="12" w:space="2"/>
        </w:pBdr>
        <w:spacing w:after="220" w:before="280"/>
      </w:pPr>
      <w:r>
        <w:rPr>
          <w:b/>
          <w:bCs/>
          <w:color w:val="201E1D"/>
          <w:sz w:val="28"/>
          <w:szCs w:val="28"/>
        </w:rPr>
        <w:t xml:space="preserve">Reasonable adjustment and support</w:t>
      </w:r>
    </w:p>
    <w:p>
      <w:pPr>
        <w:spacing w:after="140"/>
      </w:pPr>
      <w:r>
        <w:rPr>
          <w:b w:val="false"/>
          <w:bCs w:val="false"/>
          <w:color w:val="201E1D"/>
          <w:sz w:val="22"/>
          <w:szCs w:val="22"/>
        </w:rPr>
        <w:t xml:space="preserve">An adjustment changes how evidence is gathered, never the standard of performance — Quality Area 1, Standard 1.4 — assessment accommodates the needs of the VET student, including implementing reasonable adjustments where appropriate and enabling reassessment where necessary. Language, literacy and numeracy support needs are identified at enrolment and addressed before assessment.</w:t>
      </w:r>
    </w:p>
    <w:p>
      <w:pPr>
        <w:pStyle w:val="Heading2"/>
        <w:pBdr>
          <w:bottom w:val="single" w:color="EC3013" w:sz="12" w:space="2"/>
        </w:pBdr>
        <w:spacing w:after="220" w:before="280"/>
      </w:pPr>
      <w:r>
        <w:rPr>
          <w:b/>
          <w:bCs/>
          <w:color w:val="201E1D"/>
          <w:sz w:val="28"/>
          <w:szCs w:val="28"/>
        </w:rPr>
        <w:t xml:space="preserve">Review and validation</w:t>
      </w:r>
    </w:p>
    <w:p>
      <w:pPr>
        <w:spacing w:after="140"/>
      </w:pPr>
      <w:r>
        <w:rPr>
          <w:b w:val="false"/>
          <w:bCs w:val="false"/>
          <w:color w:val="201E1D"/>
          <w:sz w:val="22"/>
          <w:szCs w:val="22"/>
        </w:rPr>
        <w:t xml:space="preserve">Pre-use tool review (Standard 1.3): “CPCCCM2006 tool review record.docx”. Date completed: ____________</w:t>
      </w:r>
    </w:p>
    <w:p>
      <w:pPr>
        <w:spacing w:after="140"/>
      </w:pPr>
      <w:r>
        <w:rPr>
          <w:b w:val="false"/>
          <w:bCs w:val="false"/>
          <w:color w:val="201E1D"/>
          <w:sz w:val="22"/>
          <w:szCs w:val="22"/>
        </w:rPr>
        <w:t xml:space="preserve">Assessment validation (Standard 1.5) — practices and judgements, off marked student work, at least once every five years for this training product: “CPCCCM2006 validation record.docx”. Last validated: ____________  Next due: ____________</w:t>
      </w:r>
    </w:p>
    <w:p>
      <w:pPr>
        <w:spacing w:after="140"/>
      </w:pPr>
      <w:r>
        <w:rPr>
          <w:b w:val="false"/>
          <w:bCs w:val="false"/>
          <w:color w:val="6B6560"/>
          <w:sz w:val="18"/>
          <w:szCs w:val="18"/>
        </w:rPr>
        <w:t xml:space="preserve">Standards reference: Standards for RTOs 2025.</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TAS — unit delivery and assessment section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TAS — unit delivery and assessment section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2026-08-30T08:30:29.020Z</dcterms:created>
  <dcterms:modified xsi:type="dcterms:W3CDTF">2026-08-30T08:30:29.020Z</dcterms:modified>
</cp:coreProperties>
</file>

<file path=docProps/custom.xml><?xml version="1.0" encoding="utf-8"?>
<Properties xmlns="http://schemas.openxmlformats.org/officeDocument/2006/custom-properties" xmlns:vt="http://schemas.openxmlformats.org/officeDocument/2006/docPropsVTypes"/>
</file>